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263FCBDF"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WG</w:t>
      </w:r>
      <w:r w:rsidR="006D3FE8">
        <w:rPr>
          <w:rFonts w:ascii="Arial" w:hAnsi="Arial"/>
          <w:b/>
          <w:lang w:val="en-US"/>
        </w:rPr>
        <w:t>2</w:t>
      </w:r>
      <w:r w:rsidR="00D976C8" w:rsidRPr="00536C1E">
        <w:rPr>
          <w:rFonts w:ascii="Arial" w:hAnsi="Arial"/>
          <w:b/>
          <w:lang w:val="en-US"/>
        </w:rPr>
        <w:t xml:space="preserve"> </w:t>
      </w:r>
      <w:r w:rsidR="00F02F65" w:rsidRPr="00536C1E">
        <w:rPr>
          <w:rFonts w:ascii="Arial" w:hAnsi="Arial"/>
          <w:b/>
          <w:lang w:val="en-US"/>
        </w:rPr>
        <w:t>Meeting #</w:t>
      </w:r>
      <w:r w:rsidR="006D3FE8">
        <w:rPr>
          <w:rFonts w:ascii="Arial" w:hAnsi="Arial"/>
          <w:b/>
          <w:lang w:val="en-US"/>
        </w:rPr>
        <w:t>100</w:t>
      </w:r>
      <w:r w:rsidR="00D6375C" w:rsidRPr="00536C1E">
        <w:rPr>
          <w:rFonts w:ascii="Arial" w:hAnsi="Arial"/>
          <w:b/>
          <w:lang w:val="en-US"/>
        </w:rPr>
        <w:tab/>
      </w:r>
      <w:r w:rsidR="00133278" w:rsidRPr="00133278">
        <w:rPr>
          <w:rFonts w:ascii="Arial" w:hAnsi="Arial"/>
          <w:b/>
          <w:lang w:val="en-US"/>
        </w:rPr>
        <w:t>R2-1712990</w:t>
      </w:r>
    </w:p>
    <w:p w14:paraId="66354B83" w14:textId="3D3666D1" w:rsidR="00113916" w:rsidRPr="00F97042" w:rsidRDefault="0014453B" w:rsidP="00113916">
      <w:pPr>
        <w:rPr>
          <w:rFonts w:ascii="Arial" w:hAnsi="Arial"/>
          <w:b/>
          <w:lang w:val="en-AU"/>
        </w:rPr>
      </w:pPr>
      <w:r w:rsidRPr="0014453B">
        <w:rPr>
          <w:rFonts w:ascii="Arial" w:hAnsi="Arial"/>
          <w:b/>
          <w:lang w:val="en-AU"/>
        </w:rPr>
        <w:t>Reno, USA</w:t>
      </w:r>
      <w:r w:rsidR="00C434DD">
        <w:rPr>
          <w:rFonts w:ascii="Arial" w:hAnsi="Arial"/>
          <w:b/>
          <w:lang w:val="en-AU"/>
        </w:rPr>
        <w:t>,</w:t>
      </w:r>
      <w:r w:rsidR="00F02F65" w:rsidRPr="00F02F65">
        <w:rPr>
          <w:rFonts w:ascii="Arial" w:hAnsi="Arial"/>
          <w:b/>
          <w:lang w:val="en-AU"/>
        </w:rPr>
        <w:t xml:space="preserve"> </w:t>
      </w:r>
      <w:r>
        <w:rPr>
          <w:rFonts w:ascii="Arial" w:hAnsi="Arial"/>
          <w:b/>
          <w:lang w:val="en-AU"/>
        </w:rPr>
        <w:t>27</w:t>
      </w:r>
      <w:r w:rsidR="00F365C0" w:rsidRPr="00F365C0">
        <w:rPr>
          <w:rFonts w:ascii="Arial" w:hAnsi="Arial"/>
          <w:b/>
          <w:vertAlign w:val="superscript"/>
          <w:lang w:val="en-AU"/>
        </w:rPr>
        <w:t>th</w:t>
      </w:r>
      <w:r w:rsidR="00F365C0">
        <w:rPr>
          <w:rFonts w:ascii="Arial" w:hAnsi="Arial"/>
          <w:b/>
          <w:lang w:val="en-AU"/>
        </w:rPr>
        <w:t xml:space="preserve"> </w:t>
      </w:r>
      <w:r>
        <w:rPr>
          <w:rFonts w:ascii="Arial" w:hAnsi="Arial"/>
          <w:b/>
          <w:lang w:val="en-AU"/>
        </w:rPr>
        <w:t xml:space="preserve">November </w:t>
      </w:r>
      <w:r w:rsidR="00F365C0">
        <w:rPr>
          <w:rFonts w:ascii="Arial" w:hAnsi="Arial"/>
          <w:b/>
          <w:lang w:val="en-AU"/>
        </w:rPr>
        <w:t>– 1</w:t>
      </w:r>
      <w:r w:rsidRPr="0014453B">
        <w:rPr>
          <w:rFonts w:ascii="Arial" w:hAnsi="Arial"/>
          <w:b/>
          <w:vertAlign w:val="superscript"/>
          <w:lang w:val="en-AU"/>
        </w:rPr>
        <w:t>st</w:t>
      </w:r>
      <w:r>
        <w:rPr>
          <w:rFonts w:ascii="Arial" w:hAnsi="Arial"/>
          <w:b/>
          <w:lang w:val="en-AU"/>
        </w:rPr>
        <w:t xml:space="preserve"> December</w:t>
      </w:r>
      <w:r w:rsidR="00F365C0" w:rsidRPr="00F365C0">
        <w:rPr>
          <w:rFonts w:ascii="Arial" w:hAnsi="Arial"/>
          <w:b/>
          <w:lang w:val="en-AU"/>
        </w:rPr>
        <w:t xml:space="preserve"> </w:t>
      </w:r>
      <w:r w:rsidR="00D976C8" w:rsidRPr="00D976C8">
        <w:rPr>
          <w:rFonts w:ascii="Arial" w:hAnsi="Arial"/>
          <w:b/>
          <w:lang w:val="en-AU"/>
        </w:rPr>
        <w:t>2017</w:t>
      </w:r>
    </w:p>
    <w:p w14:paraId="259EC765" w14:textId="2966860D"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6D3FE8">
        <w:rPr>
          <w:b/>
          <w:sz w:val="24"/>
          <w:lang w:val="en-US"/>
        </w:rPr>
        <w:t>10.2.3</w:t>
      </w:r>
    </w:p>
    <w:p w14:paraId="57542942" w14:textId="33B33625"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2B658B">
        <w:rPr>
          <w:b/>
          <w:sz w:val="24"/>
          <w:lang w:val="en-US"/>
        </w:rPr>
        <w:t>SONY</w:t>
      </w:r>
      <w:r w:rsidR="005833B3" w:rsidRPr="00536C1E">
        <w:rPr>
          <w:b/>
          <w:sz w:val="24"/>
          <w:lang w:val="en-US"/>
        </w:rPr>
        <w:t xml:space="preserve"> </w:t>
      </w:r>
    </w:p>
    <w:p w14:paraId="52BFB253" w14:textId="4960CFB9"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115130">
        <w:rPr>
          <w:b/>
          <w:color w:val="000000"/>
          <w:sz w:val="24"/>
          <w:lang w:val="en-US"/>
        </w:rPr>
        <w:t xml:space="preserve">BWP Impact on </w:t>
      </w:r>
      <w:r w:rsidR="002B658B">
        <w:rPr>
          <w:b/>
          <w:color w:val="000000"/>
          <w:sz w:val="24"/>
          <w:lang w:val="en-US"/>
        </w:rPr>
        <w:t xml:space="preserve">RRM Measurements for </w:t>
      </w:r>
      <w:r w:rsidR="001B520A">
        <w:rPr>
          <w:b/>
          <w:color w:val="000000"/>
          <w:sz w:val="24"/>
          <w:lang w:val="en-US"/>
        </w:rPr>
        <w:t>Wideband CC</w:t>
      </w:r>
    </w:p>
    <w:p w14:paraId="1F2902D4" w14:textId="25264D68"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0043C103" w14:textId="461E62B6" w:rsidR="00706C0E" w:rsidRPr="00706C0E" w:rsidRDefault="00706C0E" w:rsidP="00706C0E">
      <w:pPr>
        <w:spacing w:after="0"/>
        <w:jc w:val="both"/>
        <w:rPr>
          <w:rFonts w:eastAsia="SimSun"/>
          <w:lang w:val="en-US"/>
        </w:rPr>
      </w:pPr>
      <w:r w:rsidRPr="00706C0E">
        <w:rPr>
          <w:lang w:val="en-US"/>
        </w:rPr>
        <w:t xml:space="preserve">In the RAN1 NR Ad-hoc#3 meeting, it was agreed that NR would support the transmission of multiple SS blocks in the frequency domain </w:t>
      </w:r>
      <w:r w:rsidRPr="00706C0E">
        <w:rPr>
          <w:rFonts w:eastAsia="SimSun"/>
          <w:lang w:val="en-US"/>
        </w:rPr>
        <w:t>[1]:</w:t>
      </w:r>
    </w:p>
    <w:p w14:paraId="15D37A86" w14:textId="77777777" w:rsidR="00706C0E" w:rsidRPr="009B0BF2" w:rsidRDefault="00706C0E" w:rsidP="00706C0E">
      <w:pPr>
        <w:rPr>
          <w:rFonts w:eastAsia="MS Mincho"/>
          <w:highlight w:val="yellow"/>
        </w:rPr>
      </w:pPr>
      <w:r w:rsidRPr="00B006A5">
        <w:rPr>
          <w:rFonts w:eastAsia="MS Mincho"/>
          <w:highlight w:val="green"/>
        </w:rPr>
        <w:t>Agreements:</w:t>
      </w:r>
    </w:p>
    <w:p w14:paraId="6D102F95" w14:textId="77777777" w:rsidR="00706C0E" w:rsidRPr="00706C0E" w:rsidRDefault="00706C0E" w:rsidP="00706C0E">
      <w:pPr>
        <w:numPr>
          <w:ilvl w:val="0"/>
          <w:numId w:val="17"/>
        </w:numPr>
        <w:spacing w:after="0" w:line="240" w:lineRule="auto"/>
        <w:rPr>
          <w:lang w:val="en-US"/>
        </w:rPr>
      </w:pPr>
      <w:r w:rsidRPr="00706C0E">
        <w:rPr>
          <w:lang w:val="en-US"/>
        </w:rPr>
        <w:t>From UE perspective, a cell is associated with a single SS block</w:t>
      </w:r>
    </w:p>
    <w:p w14:paraId="20FE5D38" w14:textId="77777777" w:rsidR="00706C0E" w:rsidRPr="00706C0E" w:rsidRDefault="00706C0E" w:rsidP="00706C0E">
      <w:pPr>
        <w:numPr>
          <w:ilvl w:val="1"/>
          <w:numId w:val="18"/>
        </w:numPr>
        <w:spacing w:after="0" w:line="240" w:lineRule="auto"/>
        <w:rPr>
          <w:lang w:val="en-US"/>
        </w:rPr>
      </w:pPr>
      <w:r w:rsidRPr="00706C0E">
        <w:rPr>
          <w:lang w:val="en-US"/>
        </w:rPr>
        <w:t>Note: The cell defining SS block has an associated RMSI</w:t>
      </w:r>
    </w:p>
    <w:p w14:paraId="594AEB02" w14:textId="77777777" w:rsidR="00706C0E" w:rsidRPr="00706C0E" w:rsidRDefault="00706C0E" w:rsidP="00706C0E">
      <w:pPr>
        <w:numPr>
          <w:ilvl w:val="1"/>
          <w:numId w:val="18"/>
        </w:numPr>
        <w:spacing w:after="0" w:line="240" w:lineRule="auto"/>
        <w:rPr>
          <w:lang w:val="en-US"/>
        </w:rPr>
      </w:pPr>
      <w:r w:rsidRPr="00706C0E">
        <w:rPr>
          <w:lang w:val="en-US"/>
        </w:rPr>
        <w:t xml:space="preserve">Note: From the RAN1 perspective, the cell defining SS block could for example be used for </w:t>
      </w:r>
    </w:p>
    <w:p w14:paraId="2A269860" w14:textId="77777777" w:rsidR="00706C0E" w:rsidRPr="00C25285" w:rsidRDefault="00706C0E" w:rsidP="00706C0E">
      <w:pPr>
        <w:numPr>
          <w:ilvl w:val="2"/>
          <w:numId w:val="18"/>
        </w:numPr>
        <w:spacing w:after="0" w:line="240" w:lineRule="auto"/>
      </w:pPr>
      <w:r w:rsidRPr="00C25285">
        <w:t>Common PRB indexing</w:t>
      </w:r>
    </w:p>
    <w:p w14:paraId="25B05CE4" w14:textId="77777777" w:rsidR="00706C0E" w:rsidRPr="00C25285" w:rsidRDefault="00706C0E" w:rsidP="00706C0E">
      <w:pPr>
        <w:numPr>
          <w:ilvl w:val="2"/>
          <w:numId w:val="18"/>
        </w:numPr>
        <w:spacing w:after="0" w:line="240" w:lineRule="auto"/>
      </w:pPr>
      <w:r w:rsidRPr="00C25285">
        <w:t>Scrambling</w:t>
      </w:r>
    </w:p>
    <w:p w14:paraId="79E84B46" w14:textId="77777777" w:rsidR="00706C0E" w:rsidRPr="00C25285" w:rsidRDefault="00706C0E" w:rsidP="00706C0E">
      <w:pPr>
        <w:numPr>
          <w:ilvl w:val="2"/>
          <w:numId w:val="18"/>
        </w:numPr>
        <w:spacing w:after="0" w:line="240" w:lineRule="auto"/>
      </w:pPr>
      <w:r w:rsidRPr="00C25285">
        <w:t>Etc.</w:t>
      </w:r>
    </w:p>
    <w:p w14:paraId="5F9CC253" w14:textId="77777777" w:rsidR="00706C0E" w:rsidRPr="00706C0E" w:rsidRDefault="00706C0E" w:rsidP="00706C0E">
      <w:pPr>
        <w:numPr>
          <w:ilvl w:val="0"/>
          <w:numId w:val="17"/>
        </w:numPr>
        <w:spacing w:after="0" w:line="240" w:lineRule="auto"/>
        <w:rPr>
          <w:lang w:val="en-US"/>
        </w:rPr>
      </w:pPr>
      <w:r w:rsidRPr="00706C0E">
        <w:rPr>
          <w:lang w:val="en-US"/>
        </w:rPr>
        <w:t>Multiple SS blocks can be transmitted within the bandwidth of a wideband carrier</w:t>
      </w:r>
    </w:p>
    <w:p w14:paraId="220FB411" w14:textId="77777777" w:rsidR="00706C0E" w:rsidRPr="00706C0E" w:rsidRDefault="00706C0E" w:rsidP="002735DB">
      <w:pPr>
        <w:pStyle w:val="Doc-text2"/>
        <w:tabs>
          <w:tab w:val="clear" w:pos="1622"/>
          <w:tab w:val="left" w:pos="426"/>
        </w:tabs>
        <w:ind w:left="0" w:firstLine="0"/>
        <w:rPr>
          <w:rFonts w:asciiTheme="minorHAnsi" w:eastAsiaTheme="minorEastAsia" w:hAnsiTheme="minorHAnsi" w:cstheme="minorBidi"/>
          <w:sz w:val="22"/>
          <w:szCs w:val="22"/>
          <w:lang w:val="en-US" w:eastAsia="ja-JP"/>
        </w:rPr>
      </w:pPr>
    </w:p>
    <w:p w14:paraId="551973BD" w14:textId="6F3E7901" w:rsidR="002735DB" w:rsidRPr="00706C0E" w:rsidRDefault="002735DB" w:rsidP="002735DB">
      <w:pPr>
        <w:pStyle w:val="Doc-text2"/>
        <w:tabs>
          <w:tab w:val="clear" w:pos="1622"/>
          <w:tab w:val="left" w:pos="426"/>
        </w:tabs>
        <w:ind w:left="0" w:firstLine="0"/>
        <w:rPr>
          <w:rFonts w:asciiTheme="minorHAnsi" w:eastAsiaTheme="minorEastAsia" w:hAnsiTheme="minorHAnsi" w:cstheme="minorBidi"/>
          <w:sz w:val="22"/>
          <w:szCs w:val="22"/>
          <w:lang w:val="en-US" w:eastAsia="ja-JP"/>
        </w:rPr>
      </w:pPr>
      <w:r w:rsidRPr="00706C0E">
        <w:rPr>
          <w:rFonts w:asciiTheme="minorHAnsi" w:eastAsiaTheme="minorEastAsia" w:hAnsiTheme="minorHAnsi" w:cstheme="minorBidi"/>
          <w:sz w:val="22"/>
          <w:szCs w:val="22"/>
          <w:lang w:val="en-US" w:eastAsia="ja-JP"/>
        </w:rPr>
        <w:t>In RAN2</w:t>
      </w:r>
      <w:r w:rsidR="00706C0E">
        <w:rPr>
          <w:rFonts w:asciiTheme="minorHAnsi" w:eastAsiaTheme="minorEastAsia" w:hAnsiTheme="minorHAnsi" w:cstheme="minorBidi"/>
          <w:sz w:val="22"/>
          <w:szCs w:val="22"/>
          <w:lang w:val="en-US" w:eastAsia="ja-JP"/>
        </w:rPr>
        <w:t xml:space="preserve"> #</w:t>
      </w:r>
      <w:r w:rsidRPr="00706C0E">
        <w:rPr>
          <w:rFonts w:asciiTheme="minorHAnsi" w:eastAsiaTheme="minorEastAsia" w:hAnsiTheme="minorHAnsi" w:cstheme="minorBidi"/>
          <w:sz w:val="22"/>
          <w:szCs w:val="22"/>
          <w:lang w:val="en-US" w:eastAsia="ja-JP"/>
        </w:rPr>
        <w:t>99bis</w:t>
      </w:r>
      <w:r w:rsidR="009561D7">
        <w:rPr>
          <w:rFonts w:asciiTheme="minorHAnsi" w:eastAsiaTheme="minorEastAsia" w:hAnsiTheme="minorHAnsi" w:cstheme="minorBidi"/>
          <w:sz w:val="22"/>
          <w:szCs w:val="22"/>
          <w:lang w:val="en-US" w:eastAsia="ja-JP"/>
        </w:rPr>
        <w:t xml:space="preserve"> </w:t>
      </w:r>
      <w:r w:rsidR="009561D7">
        <w:rPr>
          <w:rFonts w:asciiTheme="minorHAnsi" w:eastAsiaTheme="minorEastAsia" w:hAnsiTheme="minorHAnsi" w:cstheme="minorBidi"/>
          <w:sz w:val="22"/>
          <w:szCs w:val="22"/>
          <w:lang w:val="en-US" w:eastAsia="ja-JP"/>
        </w:rPr>
        <w:fldChar w:fldCharType="begin"/>
      </w:r>
      <w:r w:rsidR="009561D7">
        <w:rPr>
          <w:rFonts w:asciiTheme="minorHAnsi" w:eastAsiaTheme="minorEastAsia" w:hAnsiTheme="minorHAnsi" w:cstheme="minorBidi"/>
          <w:sz w:val="22"/>
          <w:szCs w:val="22"/>
          <w:lang w:val="en-US" w:eastAsia="ja-JP"/>
        </w:rPr>
        <w:instrText xml:space="preserve"> REF _Ref481674334 \r \h </w:instrText>
      </w:r>
      <w:r w:rsidR="009561D7">
        <w:rPr>
          <w:rFonts w:asciiTheme="minorHAnsi" w:eastAsiaTheme="minorEastAsia" w:hAnsiTheme="minorHAnsi" w:cstheme="minorBidi"/>
          <w:sz w:val="22"/>
          <w:szCs w:val="22"/>
          <w:lang w:val="en-US" w:eastAsia="ja-JP"/>
        </w:rPr>
      </w:r>
      <w:r w:rsidR="009561D7">
        <w:rPr>
          <w:rFonts w:asciiTheme="minorHAnsi" w:eastAsiaTheme="minorEastAsia" w:hAnsiTheme="minorHAnsi" w:cstheme="minorBidi"/>
          <w:sz w:val="22"/>
          <w:szCs w:val="22"/>
          <w:lang w:val="en-US" w:eastAsia="ja-JP"/>
        </w:rPr>
        <w:fldChar w:fldCharType="separate"/>
      </w:r>
      <w:r w:rsidR="009561D7">
        <w:rPr>
          <w:rFonts w:asciiTheme="minorHAnsi" w:eastAsiaTheme="minorEastAsia" w:hAnsiTheme="minorHAnsi" w:cstheme="minorBidi"/>
          <w:sz w:val="22"/>
          <w:szCs w:val="22"/>
          <w:lang w:val="en-US" w:eastAsia="ja-JP"/>
        </w:rPr>
        <w:t>[2]</w:t>
      </w:r>
      <w:r w:rsidR="009561D7">
        <w:rPr>
          <w:rFonts w:asciiTheme="minorHAnsi" w:eastAsiaTheme="minorEastAsia" w:hAnsiTheme="minorHAnsi" w:cstheme="minorBidi"/>
          <w:sz w:val="22"/>
          <w:szCs w:val="22"/>
          <w:lang w:val="en-US" w:eastAsia="ja-JP"/>
        </w:rPr>
        <w:fldChar w:fldCharType="end"/>
      </w:r>
      <w:r w:rsidRPr="00706C0E">
        <w:rPr>
          <w:rFonts w:asciiTheme="minorHAnsi" w:eastAsiaTheme="minorEastAsia" w:hAnsiTheme="minorHAnsi" w:cstheme="minorBidi"/>
          <w:sz w:val="22"/>
          <w:szCs w:val="22"/>
          <w:lang w:val="en-US" w:eastAsia="ja-JP"/>
        </w:rPr>
        <w:t>, the following related agreements were made:</w:t>
      </w:r>
    </w:p>
    <w:p w14:paraId="4C79F49F" w14:textId="77777777" w:rsidR="002735DB" w:rsidRPr="00CF4F46" w:rsidRDefault="002735DB" w:rsidP="002735DB">
      <w:pPr>
        <w:pStyle w:val="Doc-text2"/>
      </w:pPr>
    </w:p>
    <w:p w14:paraId="7DAA653A"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Agreements for BWP operation in CONNECTED mode:</w:t>
      </w:r>
    </w:p>
    <w:p w14:paraId="0CFA70BD"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1:</w:t>
      </w:r>
      <w:r w:rsidRPr="00CF4F46">
        <w:tab/>
        <w:t>BWP impacts on the CONNECTED mode will be progressed by Dec 17.  Impacts to IDLE mode/INACTIVE mode UEs will be discussed with SA after Dec 17.</w:t>
      </w:r>
    </w:p>
    <w:p w14:paraId="7EC3B023"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2a:</w:t>
      </w:r>
      <w:r w:rsidRPr="00CF4F46">
        <w:tab/>
        <w:t xml:space="preserve">RRC signalling supports to configure 1 or more BWPs (both for DL BWP and UL BWP) for a serving cell (PCell, PSCell). </w:t>
      </w:r>
    </w:p>
    <w:p w14:paraId="344938BC"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2b</w:t>
      </w:r>
      <w:r w:rsidRPr="00CF4F46">
        <w:tab/>
        <w:t>RRC signalling supports to configure 0, 1 or more BWPs (both for DL BWP and UL BWP) for a serving cell SCell (at least 1 DL BWP) (impact of SUL still to be discussed)</w:t>
      </w:r>
    </w:p>
    <w:p w14:paraId="78124E3F"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3</w:t>
      </w:r>
      <w:r w:rsidRPr="00CF4F46">
        <w:tab/>
        <w:t>For a UE, the PCell, PSCell and each SCell has a single associated SSB in frequency (RAN1 terminology is the is the 'cell defining SSB')</w:t>
      </w:r>
    </w:p>
    <w:p w14:paraId="7150D1CD"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4</w:t>
      </w:r>
      <w:r w:rsidRPr="00CF4F46">
        <w:tab/>
        <w:t>Cell defining SS block can be changed by synchronous reconfiguration for PCell/PSCell and SCell release/add for the SCell.</w:t>
      </w:r>
    </w:p>
    <w:p w14:paraId="448D9CAF"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5</w:t>
      </w:r>
      <w:r w:rsidRPr="00CF4F46">
        <w:tab/>
        <w:t>Each SS block frequency which needs to be measured by the UE should be configured as individual measurement object (i.e. one measurement object corresponds to a single SS block frequency).</w:t>
      </w:r>
    </w:p>
    <w:p w14:paraId="07C0BF1E"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6</w:t>
      </w:r>
      <w:r w:rsidRPr="00CF4F46">
        <w:tab/>
        <w:t>The cell defining SS block is considered as the time reference of the serving cell, and for RRM serving cell measurements based on SSB (irrespective of which BWP is activated).</w:t>
      </w:r>
    </w:p>
    <w:p w14:paraId="087097B3"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p>
    <w:p w14:paraId="41A887DC" w14:textId="77777777" w:rsidR="002735DB" w:rsidRDefault="002735DB" w:rsidP="00226014">
      <w:pPr>
        <w:jc w:val="both"/>
        <w:rPr>
          <w:rFonts w:eastAsia="MS Mincho"/>
          <w:lang w:val="en-US"/>
        </w:rPr>
      </w:pPr>
    </w:p>
    <w:p w14:paraId="6025AA25" w14:textId="7D30EFA5" w:rsidR="00187E09" w:rsidRDefault="00706C0E" w:rsidP="00226014">
      <w:pPr>
        <w:jc w:val="both"/>
        <w:rPr>
          <w:rFonts w:eastAsia="MS Mincho"/>
          <w:lang w:val="en-US"/>
        </w:rPr>
      </w:pPr>
      <w:r w:rsidRPr="00706C0E">
        <w:rPr>
          <w:rFonts w:eastAsia="MS Mincho"/>
          <w:lang w:val="en-US"/>
        </w:rPr>
        <w:t>This contribution discusses our view on the possibility of RRM measurement based on multiple SS blocks tra</w:t>
      </w:r>
      <w:r>
        <w:rPr>
          <w:rFonts w:eastAsia="MS Mincho"/>
          <w:lang w:val="en-US"/>
        </w:rPr>
        <w:t xml:space="preserve">nsmission in a wideband </w:t>
      </w:r>
      <w:r w:rsidR="002B658B">
        <w:rPr>
          <w:rFonts w:eastAsia="MS Mincho"/>
          <w:lang w:val="en-US"/>
        </w:rPr>
        <w:t xml:space="preserve">component </w:t>
      </w:r>
      <w:r>
        <w:rPr>
          <w:rFonts w:eastAsia="MS Mincho"/>
          <w:lang w:val="en-US"/>
        </w:rPr>
        <w:t>carrier</w:t>
      </w:r>
      <w:r w:rsidR="0014453B">
        <w:rPr>
          <w:rFonts w:eastAsia="MS Mincho"/>
          <w:lang w:val="en-US"/>
        </w:rPr>
        <w:t>.</w:t>
      </w:r>
    </w:p>
    <w:p w14:paraId="434C199A" w14:textId="6D7539FD" w:rsidR="00226014" w:rsidRDefault="0014453B" w:rsidP="00226014">
      <w:pPr>
        <w:pStyle w:val="Heading1"/>
        <w:numPr>
          <w:ilvl w:val="0"/>
          <w:numId w:val="9"/>
        </w:numPr>
        <w:spacing w:after="120"/>
        <w:ind w:left="357" w:hanging="357"/>
      </w:pPr>
      <w:r>
        <w:t>Discussion</w:t>
      </w:r>
    </w:p>
    <w:p w14:paraId="33A22DFF" w14:textId="2E1D7DBD" w:rsidR="00706C0E" w:rsidRDefault="00DB2092" w:rsidP="00DB2092">
      <w:pPr>
        <w:jc w:val="both"/>
        <w:rPr>
          <w:rFonts w:eastAsia="MS Mincho"/>
          <w:lang w:val="en-US"/>
        </w:rPr>
      </w:pPr>
      <w:r w:rsidRPr="00DB2092">
        <w:rPr>
          <w:rFonts w:eastAsia="MS Mincho"/>
          <w:lang w:val="en-US"/>
        </w:rPr>
        <w:t xml:space="preserve">In NR, gNB </w:t>
      </w:r>
      <w:r w:rsidR="003867D9">
        <w:rPr>
          <w:rFonts w:eastAsia="MS Mincho"/>
          <w:lang w:val="en-US"/>
        </w:rPr>
        <w:t xml:space="preserve">can </w:t>
      </w:r>
      <w:r w:rsidRPr="00DB2092">
        <w:rPr>
          <w:rFonts w:eastAsia="MS Mincho"/>
          <w:lang w:val="en-US"/>
        </w:rPr>
        <w:t xml:space="preserve">support </w:t>
      </w:r>
      <w:r w:rsidR="00706C0E">
        <w:rPr>
          <w:rFonts w:eastAsia="MS Mincho"/>
          <w:lang w:val="en-US"/>
        </w:rPr>
        <w:t>the transmission of</w:t>
      </w:r>
      <w:r w:rsidRPr="00DB2092">
        <w:rPr>
          <w:rFonts w:eastAsia="MS Mincho"/>
          <w:lang w:val="en-US"/>
        </w:rPr>
        <w:t xml:space="preserve"> multiple SS blocks (SSBs) in the frequency domain within a wideband carrier. The bandwidth can be for example as wide as 400 MHz. A UE that supports the reception of a wideband signal </w:t>
      </w:r>
      <w:r w:rsidR="00706C0E">
        <w:rPr>
          <w:rFonts w:eastAsia="MS Mincho"/>
          <w:lang w:val="en-US"/>
        </w:rPr>
        <w:t>has</w:t>
      </w:r>
      <w:r w:rsidRPr="00DB2092">
        <w:rPr>
          <w:rFonts w:eastAsia="MS Mincho"/>
          <w:lang w:val="en-US"/>
        </w:rPr>
        <w:t xml:space="preserve"> a wideband receiver chain (e.g. 400 MHz) or multiple receiver chains with narrower bandwidth</w:t>
      </w:r>
      <w:r w:rsidR="003867D9">
        <w:rPr>
          <w:rFonts w:eastAsia="MS Mincho"/>
          <w:lang w:val="en-US"/>
        </w:rPr>
        <w:t>s</w:t>
      </w:r>
      <w:r w:rsidRPr="00DB2092">
        <w:rPr>
          <w:rFonts w:eastAsia="MS Mincho"/>
          <w:lang w:val="en-US"/>
        </w:rPr>
        <w:t xml:space="preserve"> (e.g. 2x200 MHz).</w:t>
      </w:r>
      <w:r w:rsidR="00133278">
        <w:rPr>
          <w:rFonts w:eastAsia="MS Mincho"/>
          <w:lang w:val="en-US"/>
        </w:rPr>
        <w:t xml:space="preserve"> From the gNB point of view, a wideband carrier can be divided into multiple </w:t>
      </w:r>
      <w:r w:rsidR="00133278">
        <w:rPr>
          <w:rFonts w:eastAsia="MS Mincho"/>
          <w:lang w:val="en-US"/>
        </w:rPr>
        <w:lastRenderedPageBreak/>
        <w:t>bandwidth parts (BWP). In some cases, a UE is not required to actively use the whole bandwidth. Instead, the UE is only required to use one or a few BWPs (i.e. active BWPs).</w:t>
      </w:r>
    </w:p>
    <w:p w14:paraId="177AB6E9" w14:textId="5A868908" w:rsidR="00DB2092" w:rsidRPr="00DB2092" w:rsidRDefault="00706C0E" w:rsidP="00DB2092">
      <w:pPr>
        <w:jc w:val="both"/>
        <w:rPr>
          <w:rFonts w:eastAsia="MS Mincho"/>
          <w:lang w:val="en-US"/>
        </w:rPr>
      </w:pPr>
      <w:r>
        <w:rPr>
          <w:rFonts w:eastAsia="MS Mincho"/>
          <w:lang w:val="en-US"/>
        </w:rPr>
        <w:fldChar w:fldCharType="begin"/>
      </w:r>
      <w:r>
        <w:rPr>
          <w:rFonts w:eastAsia="MS Mincho"/>
          <w:lang w:val="en-US"/>
        </w:rPr>
        <w:instrText xml:space="preserve"> REF _Ref492870164 \h </w:instrText>
      </w:r>
      <w:r>
        <w:rPr>
          <w:rFonts w:eastAsia="MS Mincho"/>
          <w:lang w:val="en-US"/>
        </w:rPr>
      </w:r>
      <w:r>
        <w:rPr>
          <w:rFonts w:eastAsia="MS Mincho"/>
          <w:lang w:val="en-US"/>
        </w:rPr>
        <w:fldChar w:fldCharType="separate"/>
      </w:r>
      <w:r w:rsidRPr="00DB2092">
        <w:rPr>
          <w:lang w:val="en-US"/>
        </w:rPr>
        <w:t xml:space="preserve">Figure </w:t>
      </w:r>
      <w:r w:rsidRPr="00DB2092">
        <w:rPr>
          <w:noProof/>
          <w:lang w:val="en-US"/>
        </w:rPr>
        <w:t>1</w:t>
      </w:r>
      <w:r>
        <w:rPr>
          <w:rFonts w:eastAsia="MS Mincho"/>
          <w:lang w:val="en-US"/>
        </w:rPr>
        <w:fldChar w:fldCharType="end"/>
      </w:r>
      <w:r>
        <w:rPr>
          <w:rFonts w:eastAsia="MS Mincho"/>
          <w:lang w:val="en-US"/>
        </w:rPr>
        <w:t xml:space="preserve"> illustrates the gNB operation with a wideband component carrier and several camped UEs. The gNB transmits SSB1 for a cell that operates with wider bandwidth. In order to avoid all UEs to camp to the same cell within a wider bandwidth, the gNB transmits other SSBs that is SSB2, SSB3, and SSB4</w:t>
      </w:r>
      <w:r w:rsidR="002B658B">
        <w:rPr>
          <w:rFonts w:eastAsia="MS Mincho"/>
          <w:lang w:val="en-US"/>
        </w:rPr>
        <w:t xml:space="preserve"> for cell-2, cell-3, and cell-4, respectively</w:t>
      </w:r>
      <w:r>
        <w:rPr>
          <w:rFonts w:eastAsia="MS Mincho"/>
          <w:lang w:val="en-US"/>
        </w:rPr>
        <w:t xml:space="preserve">. </w:t>
      </w:r>
      <w:r w:rsidR="003867D9">
        <w:rPr>
          <w:rFonts w:eastAsia="MS Mincho"/>
          <w:lang w:val="en-US"/>
        </w:rPr>
        <w:t xml:space="preserve">Each additional </w:t>
      </w:r>
      <w:r>
        <w:rPr>
          <w:rFonts w:eastAsia="MS Mincho"/>
          <w:lang w:val="en-US"/>
        </w:rPr>
        <w:t xml:space="preserve">SSB creates another cell </w:t>
      </w:r>
      <w:r w:rsidR="003867D9">
        <w:rPr>
          <w:rFonts w:eastAsia="MS Mincho"/>
          <w:lang w:val="en-US"/>
        </w:rPr>
        <w:t xml:space="preserve">that </w:t>
      </w:r>
      <w:r>
        <w:rPr>
          <w:rFonts w:eastAsia="MS Mincho"/>
          <w:lang w:val="en-US"/>
        </w:rPr>
        <w:t xml:space="preserve">operates with narrower bandwidth. In this illustration, UE1 camps </w:t>
      </w:r>
      <w:r w:rsidR="003867D9">
        <w:rPr>
          <w:rFonts w:eastAsia="MS Mincho"/>
          <w:lang w:val="en-US"/>
        </w:rPr>
        <w:t xml:space="preserve">on </w:t>
      </w:r>
      <w:r>
        <w:rPr>
          <w:rFonts w:eastAsia="MS Mincho"/>
          <w:lang w:val="en-US"/>
        </w:rPr>
        <w:t>cell</w:t>
      </w:r>
      <w:r w:rsidR="002B658B">
        <w:rPr>
          <w:rFonts w:eastAsia="MS Mincho"/>
          <w:lang w:val="en-US"/>
        </w:rPr>
        <w:t>-1</w:t>
      </w:r>
      <w:r>
        <w:rPr>
          <w:rFonts w:eastAsia="MS Mincho"/>
          <w:lang w:val="en-US"/>
        </w:rPr>
        <w:t xml:space="preserve"> with wideband </w:t>
      </w:r>
      <w:r w:rsidR="00905641">
        <w:rPr>
          <w:rFonts w:eastAsia="MS Mincho"/>
          <w:lang w:val="en-US"/>
        </w:rPr>
        <w:t xml:space="preserve">channel, other UEs are connected to </w:t>
      </w:r>
      <w:r w:rsidR="003867D9">
        <w:rPr>
          <w:rFonts w:eastAsia="MS Mincho"/>
          <w:lang w:val="en-US"/>
        </w:rPr>
        <w:t xml:space="preserve">one of the other </w:t>
      </w:r>
      <w:r w:rsidR="00905641">
        <w:rPr>
          <w:rFonts w:eastAsia="MS Mincho"/>
          <w:lang w:val="en-US"/>
        </w:rPr>
        <w:t>cell</w:t>
      </w:r>
      <w:r w:rsidR="003867D9">
        <w:rPr>
          <w:rFonts w:eastAsia="MS Mincho"/>
          <w:lang w:val="en-US"/>
        </w:rPr>
        <w:t>s</w:t>
      </w:r>
      <w:r w:rsidR="00905641">
        <w:rPr>
          <w:rFonts w:eastAsia="MS Mincho"/>
          <w:lang w:val="en-US"/>
        </w:rPr>
        <w:t xml:space="preserve"> with narrowband channel</w:t>
      </w:r>
      <w:r w:rsidR="003867D9">
        <w:rPr>
          <w:rFonts w:eastAsia="MS Mincho"/>
          <w:lang w:val="en-US"/>
        </w:rPr>
        <w:t>s</w:t>
      </w:r>
      <w:r w:rsidR="00905641">
        <w:rPr>
          <w:rFonts w:eastAsia="MS Mincho"/>
          <w:lang w:val="en-US"/>
        </w:rPr>
        <w:t>.</w:t>
      </w:r>
      <w:r w:rsidR="003C244C">
        <w:rPr>
          <w:rFonts w:eastAsia="MS Mincho"/>
          <w:lang w:val="en-US"/>
        </w:rPr>
        <w:t xml:space="preserve"> This multiple SSBs transmission is also known as load balancing technique at the gNB side.</w:t>
      </w:r>
    </w:p>
    <w:p w14:paraId="2E5F03BD" w14:textId="7643DD35" w:rsidR="00BD7D58" w:rsidRDefault="00BD7D58" w:rsidP="00DB2092">
      <w:pPr>
        <w:jc w:val="both"/>
        <w:rPr>
          <w:rFonts w:eastAsia="MS Mincho"/>
          <w:lang w:val="en-US"/>
        </w:rPr>
      </w:pPr>
      <w:r>
        <w:rPr>
          <w:rFonts w:eastAsia="MS Mincho"/>
          <w:lang w:val="en-US"/>
        </w:rPr>
        <w:t xml:space="preserve">Specifically </w:t>
      </w:r>
      <w:r w:rsidR="003867D9">
        <w:rPr>
          <w:rFonts w:eastAsia="MS Mincho"/>
          <w:lang w:val="en-US"/>
        </w:rPr>
        <w:t xml:space="preserve">for </w:t>
      </w:r>
      <w:r>
        <w:rPr>
          <w:rFonts w:eastAsia="MS Mincho"/>
          <w:lang w:val="en-US"/>
        </w:rPr>
        <w:t xml:space="preserve">UE1, it supports wideband CC, thus it can obtain higher peak data rate than other UEs as in </w:t>
      </w:r>
      <w:r w:rsidR="002B658B">
        <w:rPr>
          <w:rFonts w:eastAsia="MS Mincho"/>
          <w:lang w:val="en-US"/>
        </w:rPr>
        <w:fldChar w:fldCharType="begin"/>
      </w:r>
      <w:r w:rsidR="002B658B">
        <w:rPr>
          <w:rFonts w:eastAsia="MS Mincho"/>
          <w:lang w:val="en-US"/>
        </w:rPr>
        <w:instrText xml:space="preserve"> REF _Ref492870164 \h </w:instrText>
      </w:r>
      <w:r w:rsidR="002B658B">
        <w:rPr>
          <w:rFonts w:eastAsia="MS Mincho"/>
          <w:lang w:val="en-US"/>
        </w:rPr>
      </w:r>
      <w:r w:rsidR="002B658B">
        <w:rPr>
          <w:rFonts w:eastAsia="MS Mincho"/>
          <w:lang w:val="en-US"/>
        </w:rPr>
        <w:fldChar w:fldCharType="separate"/>
      </w:r>
      <w:r w:rsidR="002B658B" w:rsidRPr="00DB2092">
        <w:rPr>
          <w:lang w:val="en-US"/>
        </w:rPr>
        <w:t xml:space="preserve">Figure </w:t>
      </w:r>
      <w:r w:rsidR="002B658B" w:rsidRPr="00DB2092">
        <w:rPr>
          <w:noProof/>
          <w:lang w:val="en-US"/>
        </w:rPr>
        <w:t>1</w:t>
      </w:r>
      <w:r w:rsidR="002B658B">
        <w:rPr>
          <w:rFonts w:eastAsia="MS Mincho"/>
          <w:lang w:val="en-US"/>
        </w:rPr>
        <w:fldChar w:fldCharType="end"/>
      </w:r>
      <w:r w:rsidR="003867D9">
        <w:rPr>
          <w:rFonts w:eastAsia="MS Mincho"/>
          <w:lang w:val="en-US"/>
        </w:rPr>
        <w:t xml:space="preserve"> </w:t>
      </w:r>
      <w:r>
        <w:rPr>
          <w:rFonts w:eastAsia="MS Mincho"/>
          <w:lang w:val="en-US"/>
        </w:rPr>
        <w:t>below. Since this type of</w:t>
      </w:r>
      <w:r w:rsidR="00DB2092" w:rsidRPr="00DB2092">
        <w:rPr>
          <w:rFonts w:eastAsia="MS Mincho"/>
          <w:lang w:val="en-US"/>
        </w:rPr>
        <w:t xml:space="preserve"> UE has </w:t>
      </w:r>
      <w:r w:rsidR="003867D9">
        <w:rPr>
          <w:rFonts w:eastAsia="MS Mincho"/>
          <w:lang w:val="en-US"/>
        </w:rPr>
        <w:t xml:space="preserve">a </w:t>
      </w:r>
      <w:r w:rsidR="00DB2092" w:rsidRPr="00DB2092">
        <w:rPr>
          <w:rFonts w:eastAsia="MS Mincho"/>
          <w:lang w:val="en-US"/>
        </w:rPr>
        <w:t xml:space="preserve">wideband signal reception capability, it would be beneficial if the UE can optimally utilize this feature, such as to be able to perform RRM measurements based on multiple SS blocks in the frequency domain. </w:t>
      </w:r>
    </w:p>
    <w:p w14:paraId="676E01E6" w14:textId="6E695B39" w:rsidR="008D2342" w:rsidRPr="00DB2092" w:rsidRDefault="00DB2092" w:rsidP="00DB2092">
      <w:pPr>
        <w:jc w:val="both"/>
        <w:rPr>
          <w:rFonts w:eastAsia="MS Mincho"/>
          <w:lang w:val="en-US"/>
        </w:rPr>
      </w:pPr>
      <w:r w:rsidRPr="00DB2092">
        <w:rPr>
          <w:rFonts w:eastAsia="MS Mincho"/>
          <w:lang w:val="en-US"/>
        </w:rPr>
        <w:t xml:space="preserve">As illustrated in </w:t>
      </w:r>
      <w:r w:rsidRPr="00DB2092">
        <w:rPr>
          <w:rFonts w:eastAsia="MS Mincho"/>
        </w:rPr>
        <w:fldChar w:fldCharType="begin"/>
      </w:r>
      <w:r w:rsidRPr="00DB2092">
        <w:rPr>
          <w:rFonts w:eastAsia="MS Mincho"/>
          <w:lang w:val="en-US"/>
        </w:rPr>
        <w:instrText xml:space="preserve"> REF _Ref492870164 \h </w:instrText>
      </w:r>
      <w:r w:rsidRPr="00DB2092">
        <w:rPr>
          <w:rFonts w:eastAsia="MS Mincho"/>
        </w:rPr>
      </w:r>
      <w:r w:rsidRPr="00DB2092">
        <w:rPr>
          <w:rFonts w:eastAsia="MS Mincho"/>
        </w:rPr>
        <w:fldChar w:fldCharType="separate"/>
      </w:r>
      <w:r w:rsidR="00905641" w:rsidRPr="00DB2092">
        <w:rPr>
          <w:lang w:val="en-US"/>
        </w:rPr>
        <w:t xml:space="preserve">Figure </w:t>
      </w:r>
      <w:r w:rsidR="00905641" w:rsidRPr="00DB2092">
        <w:rPr>
          <w:noProof/>
          <w:lang w:val="en-US"/>
        </w:rPr>
        <w:t>1</w:t>
      </w:r>
      <w:r w:rsidRPr="00DB2092">
        <w:rPr>
          <w:rFonts w:eastAsia="MS Mincho"/>
        </w:rPr>
        <w:fldChar w:fldCharType="end"/>
      </w:r>
      <w:r w:rsidRPr="00DB2092">
        <w:rPr>
          <w:rFonts w:eastAsia="MS Mincho"/>
          <w:lang w:val="en-US"/>
        </w:rPr>
        <w:t xml:space="preserve">, the multiple SS blocks are </w:t>
      </w:r>
      <w:r w:rsidR="002B658B">
        <w:rPr>
          <w:rFonts w:eastAsia="MS Mincho"/>
          <w:lang w:val="en-US"/>
        </w:rPr>
        <w:t xml:space="preserve">transmitted </w:t>
      </w:r>
      <w:r w:rsidR="003867D9">
        <w:rPr>
          <w:rFonts w:eastAsia="MS Mincho"/>
          <w:lang w:val="en-US"/>
        </w:rPr>
        <w:t xml:space="preserve">simultaneously </w:t>
      </w:r>
      <w:r w:rsidR="002B658B">
        <w:rPr>
          <w:rFonts w:eastAsia="MS Mincho"/>
          <w:lang w:val="en-US"/>
        </w:rPr>
        <w:t>by the gNB and</w:t>
      </w:r>
      <w:r w:rsidRPr="00DB2092">
        <w:rPr>
          <w:rFonts w:eastAsia="MS Mincho"/>
          <w:lang w:val="en-US"/>
        </w:rPr>
        <w:t xml:space="preserve"> the downlink transmit beam directions </w:t>
      </w:r>
      <w:r w:rsidR="002B658B">
        <w:rPr>
          <w:rFonts w:eastAsia="MS Mincho"/>
          <w:lang w:val="en-US"/>
        </w:rPr>
        <w:t xml:space="preserve">can </w:t>
      </w:r>
      <w:r w:rsidRPr="00DB2092">
        <w:rPr>
          <w:rFonts w:eastAsia="MS Mincho"/>
          <w:lang w:val="en-US"/>
        </w:rPr>
        <w:t>effectively cover various spatial areas. Compared to measurement</w:t>
      </w:r>
      <w:r w:rsidR="003867D9">
        <w:rPr>
          <w:rFonts w:eastAsia="MS Mincho"/>
          <w:lang w:val="en-US"/>
        </w:rPr>
        <w:t>s</w:t>
      </w:r>
      <w:r w:rsidRPr="00DB2092">
        <w:rPr>
          <w:rFonts w:eastAsia="MS Mincho"/>
          <w:lang w:val="en-US"/>
        </w:rPr>
        <w:t xml:space="preserve"> based on </w:t>
      </w:r>
      <w:r w:rsidR="003867D9">
        <w:rPr>
          <w:rFonts w:eastAsia="MS Mincho"/>
          <w:lang w:val="en-US"/>
        </w:rPr>
        <w:t>one</w:t>
      </w:r>
      <w:r w:rsidR="003867D9" w:rsidRPr="00DB2092">
        <w:rPr>
          <w:rFonts w:eastAsia="MS Mincho"/>
          <w:lang w:val="en-US"/>
        </w:rPr>
        <w:t xml:space="preserve"> </w:t>
      </w:r>
      <w:r w:rsidRPr="00DB2092">
        <w:rPr>
          <w:rFonts w:eastAsia="MS Mincho"/>
          <w:lang w:val="en-US"/>
        </w:rPr>
        <w:t xml:space="preserve">SS block in the time domain, this approach has some advantages. The measurement time can be shorter, </w:t>
      </w:r>
      <w:r w:rsidR="00BD7D58">
        <w:rPr>
          <w:rFonts w:eastAsia="MS Mincho"/>
          <w:lang w:val="en-US"/>
        </w:rPr>
        <w:t xml:space="preserve">and </w:t>
      </w:r>
      <w:r w:rsidRPr="00DB2092">
        <w:rPr>
          <w:rFonts w:eastAsia="MS Mincho"/>
          <w:lang w:val="en-US"/>
        </w:rPr>
        <w:t>the best gNB beam</w:t>
      </w:r>
      <w:r w:rsidR="00905641">
        <w:rPr>
          <w:rFonts w:eastAsia="MS Mincho"/>
          <w:lang w:val="en-US"/>
        </w:rPr>
        <w:t xml:space="preserve"> can </w:t>
      </w:r>
      <w:r w:rsidR="002B658B">
        <w:rPr>
          <w:rFonts w:eastAsia="MS Mincho"/>
          <w:lang w:val="en-US"/>
        </w:rPr>
        <w:t xml:space="preserve">also </w:t>
      </w:r>
      <w:r w:rsidR="00905641">
        <w:rPr>
          <w:rFonts w:eastAsia="MS Mincho"/>
          <w:lang w:val="en-US"/>
        </w:rPr>
        <w:t>be identified more quickly. Sho</w:t>
      </w:r>
      <w:r w:rsidR="002B658B">
        <w:rPr>
          <w:rFonts w:eastAsia="MS Mincho"/>
          <w:lang w:val="en-US"/>
        </w:rPr>
        <w:t>rter measurement time will provide</w:t>
      </w:r>
      <w:r w:rsidR="00905641">
        <w:rPr>
          <w:rFonts w:eastAsia="MS Mincho"/>
          <w:lang w:val="en-US"/>
        </w:rPr>
        <w:t xml:space="preserve"> a benefit to</w:t>
      </w:r>
      <w:r w:rsidRPr="00DB2092">
        <w:rPr>
          <w:rFonts w:eastAsia="MS Mincho"/>
          <w:lang w:val="en-US"/>
        </w:rPr>
        <w:t xml:space="preserve"> </w:t>
      </w:r>
      <w:r w:rsidR="002B658B">
        <w:rPr>
          <w:rFonts w:eastAsia="MS Mincho"/>
          <w:lang w:val="en-US"/>
        </w:rPr>
        <w:t>reduce</w:t>
      </w:r>
      <w:r w:rsidRPr="00DB2092">
        <w:rPr>
          <w:rFonts w:eastAsia="MS Mincho"/>
          <w:lang w:val="en-US"/>
        </w:rPr>
        <w:t xml:space="preserve"> UE power consumption. Note that a UE that does not support wideband reception can perform RRM measurements based on a single SS block and measure different beams in the time domain.  </w:t>
      </w:r>
    </w:p>
    <w:p w14:paraId="3D303142" w14:textId="230D8001" w:rsidR="00DB2092" w:rsidRPr="00B006A5" w:rsidRDefault="006D3FE8" w:rsidP="00DB2092">
      <w:pPr>
        <w:keepNext/>
        <w:jc w:val="center"/>
      </w:pPr>
      <w:r>
        <w:object w:dxaOrig="7745" w:dyaOrig="8465" w14:anchorId="7D22A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372.75pt" o:ole="">
            <v:imagedata r:id="rId8" o:title=""/>
          </v:shape>
          <o:OLEObject Type="Embed" ProgID="Visio.Drawing.11" ShapeID="_x0000_i1025" DrawAspect="Content" ObjectID="_1572363847" r:id="rId9"/>
        </w:object>
      </w:r>
    </w:p>
    <w:p w14:paraId="7CDE7E39" w14:textId="77777777" w:rsidR="00DB2092" w:rsidRPr="00DB2092" w:rsidRDefault="00DB2092" w:rsidP="00DB2092">
      <w:pPr>
        <w:pStyle w:val="Caption"/>
        <w:jc w:val="center"/>
        <w:rPr>
          <w:rFonts w:eastAsia="MS Mincho"/>
          <w:lang w:val="en-US"/>
        </w:rPr>
      </w:pPr>
      <w:bookmarkStart w:id="13" w:name="_Ref492870164"/>
      <w:r w:rsidRPr="00DB2092">
        <w:rPr>
          <w:lang w:val="en-US"/>
        </w:rPr>
        <w:t xml:space="preserve">Figure </w:t>
      </w:r>
      <w:r w:rsidRPr="00B006A5">
        <w:fldChar w:fldCharType="begin"/>
      </w:r>
      <w:r w:rsidRPr="00DB2092">
        <w:rPr>
          <w:lang w:val="en-US"/>
        </w:rPr>
        <w:instrText xml:space="preserve"> SEQ Figure \* ARABIC </w:instrText>
      </w:r>
      <w:r w:rsidRPr="00B006A5">
        <w:fldChar w:fldCharType="separate"/>
      </w:r>
      <w:r w:rsidRPr="00DB2092">
        <w:rPr>
          <w:noProof/>
          <w:lang w:val="en-US"/>
        </w:rPr>
        <w:t>1</w:t>
      </w:r>
      <w:r w:rsidRPr="00B006A5">
        <w:fldChar w:fldCharType="end"/>
      </w:r>
      <w:bookmarkEnd w:id="13"/>
      <w:r w:rsidRPr="00DB2092">
        <w:rPr>
          <w:lang w:val="en-US"/>
        </w:rPr>
        <w:t>: Illustration of the wider bandwidth operation</w:t>
      </w:r>
    </w:p>
    <w:p w14:paraId="7E9D5B52" w14:textId="77777777" w:rsidR="00DB2092" w:rsidRPr="00DB2092" w:rsidRDefault="00DB2092" w:rsidP="00DB2092">
      <w:pPr>
        <w:pStyle w:val="CommentText"/>
        <w:jc w:val="both"/>
        <w:rPr>
          <w:bCs/>
          <w:lang w:val="en-US"/>
        </w:rPr>
      </w:pPr>
    </w:p>
    <w:p w14:paraId="679AA603" w14:textId="7F69B3CA" w:rsidR="00905641" w:rsidRDefault="00905641" w:rsidP="00905641">
      <w:pPr>
        <w:jc w:val="both"/>
        <w:rPr>
          <w:b/>
          <w:lang w:val="en-US"/>
        </w:rPr>
      </w:pPr>
      <w:r w:rsidRPr="000022DB">
        <w:rPr>
          <w:b/>
          <w:bCs/>
          <w:lang w:val="en-US"/>
        </w:rPr>
        <w:t>Observation 1</w:t>
      </w:r>
      <w:r w:rsidRPr="000022DB">
        <w:rPr>
          <w:b/>
          <w:lang w:val="en-US"/>
        </w:rPr>
        <w:t xml:space="preserve">: </w:t>
      </w:r>
      <w:r w:rsidRPr="00905641">
        <w:rPr>
          <w:b/>
          <w:lang w:val="en-US"/>
        </w:rPr>
        <w:t>UE</w:t>
      </w:r>
      <w:r w:rsidR="003867D9">
        <w:rPr>
          <w:b/>
          <w:lang w:val="en-US"/>
        </w:rPr>
        <w:t>s that</w:t>
      </w:r>
      <w:r w:rsidRPr="00905641">
        <w:rPr>
          <w:b/>
          <w:lang w:val="en-US"/>
        </w:rPr>
        <w:t xml:space="preserve"> support wideband </w:t>
      </w:r>
      <w:r w:rsidR="00133278">
        <w:rPr>
          <w:b/>
          <w:lang w:val="en-US"/>
        </w:rPr>
        <w:t>reception</w:t>
      </w:r>
      <w:r w:rsidR="00133278" w:rsidRPr="00905641">
        <w:rPr>
          <w:b/>
          <w:lang w:val="en-US"/>
        </w:rPr>
        <w:t xml:space="preserve"> </w:t>
      </w:r>
      <w:r w:rsidRPr="00905641">
        <w:rPr>
          <w:b/>
          <w:lang w:val="en-US"/>
        </w:rPr>
        <w:t xml:space="preserve">can optimally utilize the wideband feature, such as to be able to perform RRM measurements. Thus, the RRM measurement time can be shorter. </w:t>
      </w:r>
    </w:p>
    <w:p w14:paraId="16C9027D" w14:textId="152342C6" w:rsidR="00A94D7B" w:rsidRDefault="00905641" w:rsidP="00905641">
      <w:pPr>
        <w:jc w:val="both"/>
        <w:rPr>
          <w:b/>
          <w:bCs/>
          <w:lang w:val="en-US"/>
        </w:rPr>
      </w:pPr>
      <w:r w:rsidRPr="00905641">
        <w:rPr>
          <w:b/>
          <w:bCs/>
          <w:lang w:val="en-US"/>
        </w:rPr>
        <w:t>Observation 2</w:t>
      </w:r>
      <w:r w:rsidRPr="00905641">
        <w:rPr>
          <w:b/>
          <w:lang w:val="en-US"/>
        </w:rPr>
        <w:t xml:space="preserve">: </w:t>
      </w:r>
      <w:r w:rsidR="003867D9">
        <w:rPr>
          <w:b/>
          <w:lang w:val="en-US"/>
        </w:rPr>
        <w:t xml:space="preserve">A </w:t>
      </w:r>
      <w:r w:rsidRPr="00905641">
        <w:rPr>
          <w:b/>
          <w:lang w:val="en-US"/>
        </w:rPr>
        <w:t xml:space="preserve">UE that does not support wideband reception can perform RRM measurements based on a single SS block and measure different beams in the time domain.  </w:t>
      </w:r>
    </w:p>
    <w:p w14:paraId="38712032" w14:textId="3068C07D" w:rsidR="00A94D7B" w:rsidRDefault="00133278" w:rsidP="00905641">
      <w:pPr>
        <w:jc w:val="both"/>
        <w:rPr>
          <w:b/>
          <w:lang w:val="en-US"/>
        </w:rPr>
      </w:pPr>
      <w:r>
        <w:rPr>
          <w:b/>
          <w:lang w:val="en-US"/>
        </w:rPr>
        <w:t>Proposal 1: NR supports the RRM measurement based on multiple SSBs within a wideband component carrier.</w:t>
      </w:r>
    </w:p>
    <w:p w14:paraId="0159953B" w14:textId="5131FD5A" w:rsidR="00905641" w:rsidRPr="000022DB" w:rsidRDefault="00A94D7B" w:rsidP="00905641">
      <w:pPr>
        <w:jc w:val="both"/>
        <w:rPr>
          <w:rFonts w:ascii="Calibri" w:eastAsia="SimSun" w:hAnsi="Calibri" w:cs="SimSun"/>
          <w:lang w:val="en-US"/>
        </w:rPr>
      </w:pPr>
      <w:r w:rsidRPr="000022DB">
        <w:rPr>
          <w:lang w:val="en-US"/>
        </w:rPr>
        <w:t>In order to perform a w</w:t>
      </w:r>
      <w:r w:rsidR="001E2203" w:rsidRPr="000022DB">
        <w:rPr>
          <w:lang w:val="en-US"/>
        </w:rPr>
        <w:t>ideband RRM measurement, a UE uses</w:t>
      </w:r>
      <w:r w:rsidRPr="000022DB">
        <w:rPr>
          <w:lang w:val="en-US"/>
        </w:rPr>
        <w:t xml:space="preserve"> all BWP</w:t>
      </w:r>
      <w:r w:rsidR="004B07B8">
        <w:rPr>
          <w:lang w:val="en-US"/>
        </w:rPr>
        <w:t>s</w:t>
      </w:r>
      <w:r w:rsidRPr="000022DB">
        <w:rPr>
          <w:lang w:val="en-US"/>
        </w:rPr>
        <w:t xml:space="preserve"> that contain</w:t>
      </w:r>
      <w:r w:rsidR="001E2203" w:rsidRPr="000022DB">
        <w:rPr>
          <w:lang w:val="en-US"/>
        </w:rPr>
        <w:t xml:space="preserve"> SSB</w:t>
      </w:r>
      <w:r w:rsidR="004B07B8">
        <w:rPr>
          <w:lang w:val="en-US"/>
        </w:rPr>
        <w:t>(s)</w:t>
      </w:r>
      <w:r w:rsidR="001E2203" w:rsidRPr="000022DB">
        <w:rPr>
          <w:lang w:val="en-US"/>
        </w:rPr>
        <w:t>.</w:t>
      </w:r>
      <w:r w:rsidR="00905641" w:rsidRPr="000022DB">
        <w:rPr>
          <w:lang w:val="en-US"/>
        </w:rPr>
        <w:t xml:space="preserve"> </w:t>
      </w:r>
      <w:r w:rsidR="001E2203" w:rsidRPr="000022DB">
        <w:rPr>
          <w:lang w:val="en-US"/>
        </w:rPr>
        <w:t xml:space="preserve">A single RRM report can be reported based on this measurement. Since the UE </w:t>
      </w:r>
      <w:r w:rsidR="006D3FE8">
        <w:rPr>
          <w:lang w:val="en-US"/>
        </w:rPr>
        <w:t xml:space="preserve">is </w:t>
      </w:r>
      <w:r w:rsidR="001E2203" w:rsidRPr="000022DB">
        <w:rPr>
          <w:lang w:val="en-US"/>
        </w:rPr>
        <w:t>capable of the wideband reception, this measurement can be regarded as an intra frequency measurement. It may not be reasonable if the UE performs inter-frequency measurement for the component carriers within its supported bandwidth. Similarly, it may also not be reasonable if the UE hands-over to other cells as the results of inter-frequency measurement for the component carriers within its supported bandwidth.</w:t>
      </w:r>
      <w:r w:rsidR="00194EFE">
        <w:rPr>
          <w:lang w:val="en-US"/>
        </w:rPr>
        <w:t xml:space="preserve"> For the UE supporting wideband CC, the inter frequency measurement is the measurement that is performed outside of the configured wideband CC.</w:t>
      </w:r>
    </w:p>
    <w:p w14:paraId="35A90399" w14:textId="6B321941" w:rsidR="00A94D7B" w:rsidRDefault="00133278" w:rsidP="00DB2092">
      <w:pPr>
        <w:jc w:val="both"/>
        <w:rPr>
          <w:lang w:val="en-US"/>
        </w:rPr>
      </w:pPr>
      <w:r w:rsidRPr="00DB2092">
        <w:rPr>
          <w:lang w:val="en-US"/>
        </w:rPr>
        <w:t>A wideband UE (e.g. UE1 as in</w:t>
      </w:r>
      <w:r w:rsidR="0049585C">
        <w:rPr>
          <w:lang w:val="en-US"/>
        </w:rPr>
        <w:t xml:space="preserve"> </w:t>
      </w:r>
      <w:r w:rsidR="0049585C">
        <w:rPr>
          <w:lang w:val="en-US"/>
        </w:rPr>
        <w:fldChar w:fldCharType="begin"/>
      </w:r>
      <w:r w:rsidR="0049585C">
        <w:rPr>
          <w:lang w:val="en-US"/>
        </w:rPr>
        <w:instrText xml:space="preserve"> REF _Ref492870164 </w:instrText>
      </w:r>
      <w:r w:rsidR="0049585C">
        <w:rPr>
          <w:lang w:val="en-US"/>
        </w:rPr>
        <w:fldChar w:fldCharType="separate"/>
      </w:r>
      <w:r w:rsidR="0049585C" w:rsidRPr="00DB2092">
        <w:rPr>
          <w:lang w:val="en-US"/>
        </w:rPr>
        <w:t xml:space="preserve">Figure </w:t>
      </w:r>
      <w:r w:rsidR="0049585C" w:rsidRPr="00DB2092">
        <w:rPr>
          <w:noProof/>
          <w:lang w:val="en-US"/>
        </w:rPr>
        <w:t>1</w:t>
      </w:r>
      <w:r w:rsidR="0049585C">
        <w:rPr>
          <w:lang w:val="en-US"/>
        </w:rPr>
        <w:fldChar w:fldCharType="end"/>
      </w:r>
      <w:r w:rsidRPr="00DB2092">
        <w:rPr>
          <w:lang w:val="en-US"/>
        </w:rPr>
        <w:t xml:space="preserve">) can derive benefit from performing simultaneous SS block-based measurements by aggregating SS block measurements over the multiple received SS blocks (in the frequency domain). </w:t>
      </w:r>
      <w:r w:rsidR="0049585C">
        <w:rPr>
          <w:lang w:val="en-US"/>
        </w:rPr>
        <w:t xml:space="preserve"> </w:t>
      </w:r>
      <w:r w:rsidRPr="00DB2092">
        <w:rPr>
          <w:lang w:val="en-US"/>
        </w:rPr>
        <w:t xml:space="preserve">For this to be possible, the UE needs to be informed that the wideband carrier has more than one SSB and </w:t>
      </w:r>
      <w:r w:rsidR="0049585C">
        <w:rPr>
          <w:lang w:val="en-US"/>
        </w:rPr>
        <w:t xml:space="preserve">the information about SSB configuration and </w:t>
      </w:r>
      <w:r w:rsidRPr="00DB2092">
        <w:rPr>
          <w:lang w:val="en-US"/>
        </w:rPr>
        <w:t>their relative positions in the frequency domain.</w:t>
      </w:r>
    </w:p>
    <w:p w14:paraId="57B199D3" w14:textId="2C488EEF" w:rsidR="00951C6E" w:rsidRPr="000022DB" w:rsidRDefault="00951C6E" w:rsidP="000022DB">
      <w:pPr>
        <w:rPr>
          <w:lang w:val="en-US"/>
        </w:rPr>
      </w:pPr>
      <w:r w:rsidRPr="00B0749B">
        <w:rPr>
          <w:b/>
          <w:bCs/>
          <w:lang w:val="en-US"/>
        </w:rPr>
        <w:t xml:space="preserve">Proposal </w:t>
      </w:r>
      <w:r>
        <w:rPr>
          <w:b/>
          <w:bCs/>
          <w:lang w:val="en-US"/>
        </w:rPr>
        <w:t>2</w:t>
      </w:r>
      <w:r w:rsidRPr="00B0749B">
        <w:rPr>
          <w:b/>
          <w:bCs/>
          <w:lang w:val="en-US"/>
        </w:rPr>
        <w:t>:</w:t>
      </w:r>
      <w:r w:rsidRPr="00B0749B">
        <w:rPr>
          <w:b/>
          <w:lang w:val="en-US"/>
        </w:rPr>
        <w:t xml:space="preserve"> </w:t>
      </w:r>
      <w:r w:rsidR="00C258A1">
        <w:rPr>
          <w:b/>
          <w:lang w:val="en-US"/>
        </w:rPr>
        <w:t xml:space="preserve">A single </w:t>
      </w:r>
      <w:bookmarkStart w:id="14" w:name="_GoBack"/>
      <w:bookmarkEnd w:id="14"/>
      <w:r w:rsidR="00C258A1">
        <w:rPr>
          <w:b/>
          <w:lang w:val="en-US"/>
        </w:rPr>
        <w:t>measurement object is configured for a UE supporting wideband CC involving multiple SSBs</w:t>
      </w:r>
      <w:r>
        <w:rPr>
          <w:b/>
          <w:lang w:val="en-US"/>
        </w:rPr>
        <w:t>.</w:t>
      </w:r>
    </w:p>
    <w:p w14:paraId="7659EBED" w14:textId="77777777" w:rsidR="00226014" w:rsidRDefault="00226014" w:rsidP="00226014">
      <w:pPr>
        <w:pStyle w:val="Heading1"/>
        <w:numPr>
          <w:ilvl w:val="0"/>
          <w:numId w:val="9"/>
        </w:numPr>
      </w:pPr>
      <w:r>
        <w:t xml:space="preserve">  Conclusion</w:t>
      </w:r>
    </w:p>
    <w:p w14:paraId="02AC424A" w14:textId="3A988BDA" w:rsidR="008D2342" w:rsidRDefault="008D2342" w:rsidP="008D2342">
      <w:pPr>
        <w:shd w:val="clear" w:color="auto" w:fill="FFFFFF"/>
        <w:jc w:val="both"/>
        <w:rPr>
          <w:rFonts w:cs="Arial"/>
          <w:lang w:val="en-US"/>
        </w:rPr>
      </w:pPr>
      <w:r w:rsidRPr="008D2342">
        <w:rPr>
          <w:rFonts w:cs="Arial"/>
          <w:lang w:val="en-US"/>
        </w:rPr>
        <w:t xml:space="preserve">In this contribution, we have provided our considerations on RRM measurement </w:t>
      </w:r>
      <w:r>
        <w:rPr>
          <w:rFonts w:cs="Arial"/>
          <w:lang w:val="en-US"/>
        </w:rPr>
        <w:t>for a UE supporting wideband CC</w:t>
      </w:r>
      <w:r w:rsidRPr="008D2342">
        <w:rPr>
          <w:rFonts w:cs="Arial"/>
          <w:lang w:val="en-US"/>
        </w:rPr>
        <w:t xml:space="preserve">. We </w:t>
      </w:r>
      <w:r w:rsidR="00BD7D58">
        <w:rPr>
          <w:rFonts w:cs="Arial"/>
          <w:lang w:val="en-US"/>
        </w:rPr>
        <w:t>have the following observations:</w:t>
      </w:r>
    </w:p>
    <w:p w14:paraId="7CA7248D" w14:textId="3E307E55" w:rsidR="006F68A0" w:rsidRPr="00905641" w:rsidRDefault="006F68A0" w:rsidP="006F68A0">
      <w:pPr>
        <w:jc w:val="both"/>
        <w:rPr>
          <w:rFonts w:ascii="Calibri" w:eastAsia="SimSun" w:hAnsi="Calibri" w:cs="SimSun"/>
          <w:b/>
          <w:lang w:val="en-US"/>
        </w:rPr>
      </w:pPr>
      <w:r w:rsidRPr="000022DB">
        <w:rPr>
          <w:b/>
          <w:bCs/>
          <w:lang w:val="en-US"/>
        </w:rPr>
        <w:t>Observation 1</w:t>
      </w:r>
      <w:r w:rsidRPr="000022DB">
        <w:rPr>
          <w:b/>
          <w:lang w:val="en-US"/>
        </w:rPr>
        <w:t xml:space="preserve">: </w:t>
      </w:r>
      <w:r w:rsidRPr="00905641">
        <w:rPr>
          <w:b/>
          <w:lang w:val="en-US"/>
        </w:rPr>
        <w:t>UE</w:t>
      </w:r>
      <w:r>
        <w:rPr>
          <w:b/>
          <w:lang w:val="en-US"/>
        </w:rPr>
        <w:t>s that</w:t>
      </w:r>
      <w:r w:rsidRPr="00905641">
        <w:rPr>
          <w:b/>
          <w:lang w:val="en-US"/>
        </w:rPr>
        <w:t xml:space="preserve"> support wideband </w:t>
      </w:r>
      <w:r w:rsidR="00B16B24">
        <w:rPr>
          <w:b/>
          <w:lang w:val="en-US"/>
        </w:rPr>
        <w:t>reception</w:t>
      </w:r>
      <w:r w:rsidR="00B16B24" w:rsidRPr="00905641">
        <w:rPr>
          <w:b/>
          <w:lang w:val="en-US"/>
        </w:rPr>
        <w:t xml:space="preserve"> </w:t>
      </w:r>
      <w:r w:rsidRPr="00905641">
        <w:rPr>
          <w:b/>
          <w:lang w:val="en-US"/>
        </w:rPr>
        <w:t xml:space="preserve">can optimally utilize the wideband feature, such as to be able to perform RRM measurements. Thus, the RRM measurement time can be shorter. </w:t>
      </w:r>
    </w:p>
    <w:p w14:paraId="33322F6F" w14:textId="77777777" w:rsidR="006F68A0" w:rsidRDefault="006F68A0" w:rsidP="006F68A0">
      <w:pPr>
        <w:jc w:val="both"/>
        <w:rPr>
          <w:b/>
          <w:lang w:val="en-US"/>
        </w:rPr>
      </w:pPr>
      <w:r w:rsidRPr="00905641">
        <w:rPr>
          <w:b/>
          <w:bCs/>
          <w:lang w:val="en-US"/>
        </w:rPr>
        <w:t>Observation 2</w:t>
      </w:r>
      <w:r w:rsidRPr="00905641">
        <w:rPr>
          <w:b/>
          <w:lang w:val="en-US"/>
        </w:rPr>
        <w:t xml:space="preserve">: </w:t>
      </w:r>
      <w:r>
        <w:rPr>
          <w:b/>
          <w:lang w:val="en-US"/>
        </w:rPr>
        <w:t xml:space="preserve">A </w:t>
      </w:r>
      <w:r w:rsidRPr="00905641">
        <w:rPr>
          <w:b/>
          <w:lang w:val="en-US"/>
        </w:rPr>
        <w:t xml:space="preserve">UE that does not support wideband reception can perform RRM measurements based on a single SS block and measure different beams in the time domain.  </w:t>
      </w:r>
    </w:p>
    <w:p w14:paraId="0939EB9D" w14:textId="6D1EF6C0" w:rsidR="00BD7D58" w:rsidRPr="00BD7D58" w:rsidRDefault="00BD7D58" w:rsidP="008D2342">
      <w:pPr>
        <w:jc w:val="both"/>
        <w:rPr>
          <w:lang w:val="en-US"/>
        </w:rPr>
      </w:pPr>
      <w:r w:rsidRPr="00BD7D58">
        <w:rPr>
          <w:lang w:val="en-US"/>
        </w:rPr>
        <w:t>And the following proposals:</w:t>
      </w:r>
    </w:p>
    <w:p w14:paraId="6530D866" w14:textId="36DAEE2A" w:rsidR="001E2203" w:rsidRPr="000022DB" w:rsidRDefault="001E2203" w:rsidP="000022DB">
      <w:pPr>
        <w:jc w:val="both"/>
        <w:rPr>
          <w:b/>
          <w:lang w:val="en-US"/>
        </w:rPr>
      </w:pPr>
      <w:r>
        <w:rPr>
          <w:b/>
          <w:lang w:val="en-US"/>
        </w:rPr>
        <w:t>Proposal 1: NR supports the RRM measurement based on multiple SSBs within a wideband component carrier.</w:t>
      </w:r>
    </w:p>
    <w:p w14:paraId="568F3B7D" w14:textId="1F453CFC" w:rsidR="001E2203" w:rsidRPr="000022DB" w:rsidRDefault="000A5B27" w:rsidP="000022DB">
      <w:pPr>
        <w:rPr>
          <w:lang w:val="en-US"/>
        </w:rPr>
      </w:pPr>
      <w:r w:rsidRPr="00B0749B">
        <w:rPr>
          <w:b/>
          <w:bCs/>
          <w:lang w:val="en-US"/>
        </w:rPr>
        <w:t xml:space="preserve">Proposal </w:t>
      </w:r>
      <w:r>
        <w:rPr>
          <w:b/>
          <w:bCs/>
          <w:lang w:val="en-US"/>
        </w:rPr>
        <w:t>2</w:t>
      </w:r>
      <w:r w:rsidRPr="00B0749B">
        <w:rPr>
          <w:b/>
          <w:bCs/>
          <w:lang w:val="en-US"/>
        </w:rPr>
        <w:t>:</w:t>
      </w:r>
      <w:r w:rsidRPr="00B0749B">
        <w:rPr>
          <w:b/>
          <w:lang w:val="en-US"/>
        </w:rPr>
        <w:t xml:space="preserve"> </w:t>
      </w:r>
      <w:r>
        <w:rPr>
          <w:b/>
          <w:lang w:val="en-US"/>
        </w:rPr>
        <w:t>A single measurement object is configured for a UE supporting wideband CC involving multiple SSBs</w:t>
      </w:r>
      <w:r w:rsidR="001E2203" w:rsidRPr="000022DB">
        <w:rPr>
          <w:b/>
          <w:lang w:val="en-US"/>
        </w:rPr>
        <w:t>.</w:t>
      </w:r>
    </w:p>
    <w:p w14:paraId="531D7ED8" w14:textId="77777777" w:rsidR="00226014" w:rsidRDefault="00226014" w:rsidP="00226014">
      <w:pPr>
        <w:pStyle w:val="Heading1"/>
        <w:numPr>
          <w:ilvl w:val="0"/>
          <w:numId w:val="9"/>
        </w:numPr>
      </w:pPr>
      <w:r>
        <w:t>References</w:t>
      </w:r>
    </w:p>
    <w:p w14:paraId="54083841" w14:textId="77777777" w:rsidR="008D2342" w:rsidRDefault="008D2342" w:rsidP="008D2342">
      <w:pPr>
        <w:widowControl w:val="0"/>
        <w:numPr>
          <w:ilvl w:val="0"/>
          <w:numId w:val="19"/>
        </w:numPr>
        <w:spacing w:afterLines="50" w:after="120" w:line="320" w:lineRule="exact"/>
        <w:jc w:val="both"/>
        <w:rPr>
          <w:lang w:val="en-US"/>
        </w:rPr>
      </w:pPr>
      <w:bookmarkStart w:id="15" w:name="_Ref471354124"/>
      <w:bookmarkStart w:id="16" w:name="_Ref478022593"/>
      <w:bookmarkStart w:id="17" w:name="_Ref481464289"/>
      <w:bookmarkStart w:id="18" w:name="_Ref490055642"/>
      <w:r w:rsidRPr="008D2342">
        <w:rPr>
          <w:lang w:val="en-US"/>
        </w:rPr>
        <w:t xml:space="preserve">Chairman’s Notes, </w:t>
      </w:r>
      <w:bookmarkEnd w:id="15"/>
      <w:bookmarkEnd w:id="16"/>
      <w:bookmarkEnd w:id="17"/>
      <w:r w:rsidRPr="008D2342">
        <w:rPr>
          <w:lang w:val="en-US"/>
        </w:rPr>
        <w:t>RAN WG1 NR-adhoc #3, Nagoya, Japan, September 2017</w:t>
      </w:r>
      <w:bookmarkEnd w:id="18"/>
    </w:p>
    <w:p w14:paraId="55D8F8E4" w14:textId="4FB33C7F" w:rsidR="00B30F57" w:rsidRPr="00B16B24" w:rsidRDefault="008D2342" w:rsidP="00B16B24">
      <w:pPr>
        <w:widowControl w:val="0"/>
        <w:numPr>
          <w:ilvl w:val="0"/>
          <w:numId w:val="19"/>
        </w:numPr>
        <w:spacing w:afterLines="50" w:after="120" w:line="320" w:lineRule="exact"/>
        <w:jc w:val="both"/>
        <w:rPr>
          <w:lang w:val="en-US"/>
        </w:rPr>
      </w:pPr>
      <w:bookmarkStart w:id="19" w:name="_Ref481674334"/>
      <w:r w:rsidRPr="008D2342">
        <w:rPr>
          <w:lang w:val="en-US"/>
        </w:rPr>
        <w:t xml:space="preserve">Chairman’s Notes, </w:t>
      </w:r>
      <w:r>
        <w:rPr>
          <w:lang w:val="en-US"/>
        </w:rPr>
        <w:t>RAN WG2 #99b</w:t>
      </w:r>
      <w:r w:rsidRPr="008D2342">
        <w:rPr>
          <w:lang w:val="en-US"/>
        </w:rPr>
        <w:t xml:space="preserve">, </w:t>
      </w:r>
      <w:r>
        <w:rPr>
          <w:lang w:val="en-US"/>
        </w:rPr>
        <w:t>Prague</w:t>
      </w:r>
      <w:r w:rsidRPr="008D2342">
        <w:rPr>
          <w:lang w:val="en-US"/>
        </w:rPr>
        <w:t xml:space="preserve">, </w:t>
      </w:r>
      <w:r>
        <w:rPr>
          <w:lang w:val="en-US"/>
        </w:rPr>
        <w:t>CZ</w:t>
      </w:r>
      <w:r w:rsidRPr="008D2342">
        <w:rPr>
          <w:lang w:val="en-US"/>
        </w:rPr>
        <w:t xml:space="preserve">, </w:t>
      </w:r>
      <w:r>
        <w:rPr>
          <w:lang w:val="en-US"/>
        </w:rPr>
        <w:t>October</w:t>
      </w:r>
      <w:r w:rsidRPr="008D2342">
        <w:rPr>
          <w:lang w:val="en-US"/>
        </w:rPr>
        <w:t xml:space="preserve"> 2017</w:t>
      </w:r>
      <w:bookmarkEnd w:id="19"/>
    </w:p>
    <w:sectPr w:rsidR="00B30F57" w:rsidRPr="00B16B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A3A79" w14:textId="77777777" w:rsidR="001A214A" w:rsidRDefault="001A214A">
      <w:r>
        <w:separator/>
      </w:r>
    </w:p>
  </w:endnote>
  <w:endnote w:type="continuationSeparator" w:id="0">
    <w:p w14:paraId="135FE4BF" w14:textId="77777777" w:rsidR="001A214A" w:rsidRDefault="001A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EF93C" w14:textId="77777777" w:rsidR="001A214A" w:rsidRDefault="001A214A">
      <w:r>
        <w:separator/>
      </w:r>
    </w:p>
  </w:footnote>
  <w:footnote w:type="continuationSeparator" w:id="0">
    <w:p w14:paraId="505F0030" w14:textId="77777777" w:rsidR="001A214A" w:rsidRDefault="001A21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3"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17"/>
  </w:num>
  <w:num w:numId="3">
    <w:abstractNumId w:val="10"/>
  </w:num>
  <w:num w:numId="4">
    <w:abstractNumId w:val="7"/>
  </w:num>
  <w:num w:numId="5">
    <w:abstractNumId w:val="2"/>
  </w:num>
  <w:num w:numId="6">
    <w:abstractNumId w:val="16"/>
  </w:num>
  <w:num w:numId="7">
    <w:abstractNumId w:val="15"/>
  </w:num>
  <w:num w:numId="8">
    <w:abstractNumId w:val="18"/>
  </w:num>
  <w:num w:numId="9">
    <w:abstractNumId w:val="0"/>
  </w:num>
  <w:num w:numId="10">
    <w:abstractNumId w:val="12"/>
  </w:num>
  <w:num w:numId="11">
    <w:abstractNumId w:val="4"/>
  </w:num>
  <w:num w:numId="12">
    <w:abstractNumId w:val="1"/>
  </w:num>
  <w:num w:numId="13">
    <w:abstractNumId w:val="13"/>
  </w:num>
  <w:num w:numId="14">
    <w:abstractNumId w:val="3"/>
  </w:num>
  <w:num w:numId="15">
    <w:abstractNumId w:val="14"/>
  </w:num>
  <w:num w:numId="16">
    <w:abstractNumId w:val="6"/>
  </w:num>
  <w:num w:numId="17">
    <w:abstractNumId w:val="11"/>
  </w:num>
  <w:num w:numId="18">
    <w:abstractNumId w:val="5"/>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2DB"/>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5B27"/>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0B6"/>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130"/>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278"/>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FD"/>
    <w:rsid w:val="00194EFE"/>
    <w:rsid w:val="001964F1"/>
    <w:rsid w:val="0019703F"/>
    <w:rsid w:val="001973FE"/>
    <w:rsid w:val="00197594"/>
    <w:rsid w:val="00197C8F"/>
    <w:rsid w:val="001A0A22"/>
    <w:rsid w:val="001A1C76"/>
    <w:rsid w:val="001A214A"/>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203"/>
    <w:rsid w:val="001E2A3A"/>
    <w:rsid w:val="001E30CE"/>
    <w:rsid w:val="001E322F"/>
    <w:rsid w:val="001E4C89"/>
    <w:rsid w:val="001E5AE2"/>
    <w:rsid w:val="001E5BD5"/>
    <w:rsid w:val="001E5C11"/>
    <w:rsid w:val="001E6020"/>
    <w:rsid w:val="001E6C1F"/>
    <w:rsid w:val="001F0541"/>
    <w:rsid w:val="001F06F5"/>
    <w:rsid w:val="001F089A"/>
    <w:rsid w:val="001F3613"/>
    <w:rsid w:val="001F3B85"/>
    <w:rsid w:val="001F48BC"/>
    <w:rsid w:val="001F6769"/>
    <w:rsid w:val="001F7B7B"/>
    <w:rsid w:val="00200D51"/>
    <w:rsid w:val="00201AED"/>
    <w:rsid w:val="002026D6"/>
    <w:rsid w:val="00202719"/>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27EB"/>
    <w:rsid w:val="00223076"/>
    <w:rsid w:val="002231DA"/>
    <w:rsid w:val="00223535"/>
    <w:rsid w:val="00223776"/>
    <w:rsid w:val="00223A85"/>
    <w:rsid w:val="00223DB2"/>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334"/>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4252"/>
    <w:rsid w:val="002B5486"/>
    <w:rsid w:val="002B658B"/>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2E18"/>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85F"/>
    <w:rsid w:val="00364998"/>
    <w:rsid w:val="0036512D"/>
    <w:rsid w:val="0036745C"/>
    <w:rsid w:val="0036795D"/>
    <w:rsid w:val="00367A49"/>
    <w:rsid w:val="00370082"/>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44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585C"/>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07B8"/>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5CB8"/>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6AA3"/>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3FE8"/>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8A0"/>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6C0E"/>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110A"/>
    <w:rsid w:val="00743DC0"/>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4803"/>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01CE"/>
    <w:rsid w:val="007B0D69"/>
    <w:rsid w:val="007B178B"/>
    <w:rsid w:val="007B1A06"/>
    <w:rsid w:val="007B1DF9"/>
    <w:rsid w:val="007B1EE7"/>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F58"/>
    <w:rsid w:val="00951C6E"/>
    <w:rsid w:val="00952BA8"/>
    <w:rsid w:val="00952FC2"/>
    <w:rsid w:val="009536A4"/>
    <w:rsid w:val="009540C9"/>
    <w:rsid w:val="0095503E"/>
    <w:rsid w:val="009561D7"/>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4D7B"/>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E0A"/>
    <w:rsid w:val="00B1697C"/>
    <w:rsid w:val="00B16B24"/>
    <w:rsid w:val="00B201FF"/>
    <w:rsid w:val="00B220AB"/>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B3A"/>
    <w:rsid w:val="00BA7CF8"/>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7295"/>
    <w:rsid w:val="00BD7597"/>
    <w:rsid w:val="00BD7684"/>
    <w:rsid w:val="00BD7D58"/>
    <w:rsid w:val="00BD7E1D"/>
    <w:rsid w:val="00BE035D"/>
    <w:rsid w:val="00BE0543"/>
    <w:rsid w:val="00BE056D"/>
    <w:rsid w:val="00BE068F"/>
    <w:rsid w:val="00BE124A"/>
    <w:rsid w:val="00BE15F4"/>
    <w:rsid w:val="00BE186C"/>
    <w:rsid w:val="00BE1930"/>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8A1"/>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1B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2B4F"/>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449"/>
    <w:rsid w:val="00E1253B"/>
    <w:rsid w:val="00E13A0D"/>
    <w:rsid w:val="00E14A92"/>
    <w:rsid w:val="00E14CBF"/>
    <w:rsid w:val="00E15376"/>
    <w:rsid w:val="00E155CE"/>
    <w:rsid w:val="00E157F8"/>
    <w:rsid w:val="00E174F6"/>
    <w:rsid w:val="00E212FF"/>
    <w:rsid w:val="00E21E3B"/>
    <w:rsid w:val="00E227E2"/>
    <w:rsid w:val="00E22997"/>
    <w:rsid w:val="00E2319F"/>
    <w:rsid w:val="00E237F9"/>
    <w:rsid w:val="00E23EEA"/>
    <w:rsid w:val="00E24657"/>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7D8"/>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44DD"/>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8A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C258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58A1"/>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CaptionChar3"/>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
    <w:basedOn w:val="Normal"/>
    <w:link w:val="ListParagraphChar"/>
    <w:uiPriority w:val="34"/>
    <w:qFormat/>
    <w:rsid w:val="007F740E"/>
    <w:pPr>
      <w:ind w:left="720"/>
      <w:contextualSpacing/>
    </w:pPr>
  </w:style>
  <w:style w:type="character" w:customStyle="1" w:styleId="ListParagraphChar">
    <w:name w:val="List Paragraph Char"/>
    <w:aliases w:val="- Bullets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FDD3D-DBCB-41A1-9424-DEAFB8923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1065</Words>
  <Characters>6075</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2017-11-16T18:53:00Z</dcterms:created>
  <dcterms:modified xsi:type="dcterms:W3CDTF">2017-11-16T18:55:00Z</dcterms:modified>
</cp:coreProperties>
</file>